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1" w:name="_GoBack"/>
            <w:bookmarkEnd w:id="1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BE04BD" w:rsidRDefault="00E204D6" w:rsidP="00AA717D">
            <w:pPr>
              <w:spacing w:before="120" w:after="120"/>
              <w:rPr>
                <w:b/>
              </w:rPr>
            </w:pPr>
            <w:r w:rsidRPr="0041681D">
              <w:rPr>
                <w:b/>
                <w:sz w:val="24"/>
              </w:rPr>
              <w:t>ÉLÉMENTS</w:t>
            </w:r>
            <w:r w:rsidR="00AA717D" w:rsidRPr="0041681D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41681D">
              <w:rPr>
                <w:b/>
                <w:sz w:val="24"/>
              </w:rPr>
              <w:t>COMMENTAIRES OU RECOMMANDATIONS</w:t>
            </w:r>
          </w:p>
        </w:tc>
      </w:tr>
      <w:tr w:rsidR="00AA717D" w:rsidRPr="0041681D" w:rsidTr="0041681D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41681D" w:rsidRDefault="00AA717D" w:rsidP="0041681D">
            <w:pPr>
              <w:spacing w:before="120" w:after="120"/>
              <w:jc w:val="left"/>
              <w:rPr>
                <w:b/>
                <w:sz w:val="24"/>
              </w:rPr>
            </w:pPr>
            <w:r w:rsidRPr="0041681D">
              <w:rPr>
                <w:b/>
                <w:sz w:val="24"/>
              </w:rPr>
              <w:t>AMÉNAGEMENT DES LIEUX</w:t>
            </w: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940B54">
            <w:pPr>
              <w:spacing w:before="60" w:after="60"/>
              <w:rPr>
                <w:b/>
              </w:rPr>
            </w:pPr>
            <w:r w:rsidRPr="00AA717D">
              <w:rPr>
                <w:b/>
              </w:rPr>
              <w:t>Signalisation et affichage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>Art. 7, 95, 138 et 336)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Affiche présente et visible pour passage piétonnier et escalier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Affiche présente et visible pour matières toxiques à l’état gazeux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</w:t>
            </w:r>
            <w:r w:rsidR="000171D0">
              <w:rPr>
                <w:b/>
              </w:rPr>
              <w:t xml:space="preserve">, </w:t>
            </w:r>
            <w:r>
              <w:rPr>
                <w:b/>
              </w:rPr>
              <w:t>de passages</w:t>
            </w:r>
            <w:r w:rsidR="000171D0">
              <w:rPr>
                <w:b/>
              </w:rPr>
              <w:t xml:space="preserve"> et stationnement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="000171D0">
              <w:rPr>
                <w:b/>
              </w:rPr>
              <w:t xml:space="preserve"> et 8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0171D0" w:rsidP="00761F53">
            <w:pPr>
              <w:spacing w:before="40" w:after="40"/>
              <w:jc w:val="left"/>
            </w:pPr>
            <w:r>
              <w:t>Non glissant</w:t>
            </w:r>
            <w:r w:rsidR="00AA717D">
              <w:t>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0171D0" w:rsidP="00761F53">
            <w:pPr>
              <w:spacing w:before="40" w:after="40"/>
              <w:jc w:val="left"/>
            </w:pPr>
            <w:r>
              <w:t>Bien éclairé</w:t>
            </w:r>
            <w:r w:rsidR="00AA717D">
              <w:t>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940B5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Nettoyage et disposition des déchets </w:t>
            </w:r>
            <w:r w:rsidRPr="00AA717D">
              <w:rPr>
                <w:b/>
              </w:rPr>
              <w:t>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17 et 18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 w:rsidRPr="00AA717D">
              <w:t>Les déchets, les balayures et autres résidus sont enlevés des postes de travail et déposés dans les contenants appropriés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Les contenants sont disposés pr</w:t>
            </w:r>
            <w:r w:rsidR="000171D0">
              <w:t>ès</w:t>
            </w:r>
            <w:r>
              <w:t xml:space="preserve"> des stations de travail et accessibles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AA717D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Ne gêne pas la circulation</w:t>
            </w:r>
            <w:r w:rsidR="00940B54">
              <w:t>, les escaliers ou près d’une porte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940B54" w:rsidP="00761F53">
            <w:pPr>
              <w:spacing w:before="40" w:after="40"/>
              <w:jc w:val="left"/>
            </w:pPr>
            <w:r>
              <w:lastRenderedPageBreak/>
              <w:t>Ne gêne pas l’accès au matériel de lutte contre les incendies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940B54" w:rsidP="00761F53">
            <w:pPr>
              <w:spacing w:before="40" w:after="40"/>
              <w:jc w:val="left"/>
            </w:pPr>
            <w:r>
              <w:t>Empilé contre des parois assez résistantes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940B54" w:rsidP="00761F53">
            <w:pPr>
              <w:spacing w:before="40" w:after="40"/>
              <w:jc w:val="left"/>
            </w:pPr>
            <w:r>
              <w:t>Empilé à une hauteur qui ne compromet pas la stabilité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940B54" w:rsidP="00761F53">
            <w:pPr>
              <w:spacing w:before="40" w:after="40"/>
              <w:jc w:val="left"/>
            </w:pPr>
            <w:r>
              <w:t>Aucu</w:t>
            </w:r>
            <w:r w:rsidR="00507DAD">
              <w:t>n matériel entreposé à moins d’un</w:t>
            </w:r>
            <w:r>
              <w:t xml:space="preserve"> mètre des panneaux électriques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940B54" w:rsidP="00761F53">
            <w:pPr>
              <w:spacing w:before="40" w:after="40"/>
              <w:jc w:val="left"/>
            </w:pPr>
            <w:r>
              <w:t>Ne gêne pas l’accès aux douches et aux autres équipements d’urgence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940B54" w:rsidP="00761F53">
            <w:pPr>
              <w:spacing w:before="40" w:after="40"/>
              <w:jc w:val="left"/>
            </w:pPr>
            <w:r>
              <w:t>Ne gêne pas à la propagation de la lumière du jour et artificielle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940B54" w:rsidRPr="0041681D" w:rsidTr="0041681D">
        <w:tc>
          <w:tcPr>
            <w:tcW w:w="11376" w:type="dxa"/>
            <w:gridSpan w:val="5"/>
            <w:shd w:val="clear" w:color="auto" w:fill="9CC2E5" w:themeFill="accent1" w:themeFillTint="99"/>
          </w:tcPr>
          <w:p w:rsidR="00940B54" w:rsidRPr="0041681D" w:rsidRDefault="00940B54" w:rsidP="0041681D">
            <w:pPr>
              <w:spacing w:before="120" w:after="120"/>
              <w:jc w:val="left"/>
              <w:rPr>
                <w:b/>
                <w:sz w:val="24"/>
              </w:rPr>
            </w:pPr>
            <w:r w:rsidRPr="0041681D">
              <w:rPr>
                <w:b/>
                <w:sz w:val="24"/>
              </w:rPr>
              <w:t>MATIÈRES DANGEREUSES</w:t>
            </w:r>
          </w:p>
        </w:tc>
      </w:tr>
      <w:tr w:rsidR="006E7312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6E7312" w:rsidRPr="00AA717D" w:rsidRDefault="006E7312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Entreposage et manutention </w:t>
            </w:r>
            <w:r w:rsidRPr="00AA717D">
              <w:rPr>
                <w:b/>
              </w:rPr>
              <w:t>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70 à 99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6E7312" w:rsidP="00761F53">
            <w:pPr>
              <w:spacing w:before="40" w:after="40"/>
              <w:jc w:val="left"/>
            </w:pPr>
            <w:r>
              <w:t>Matières dangereuses sont séparées ou isolées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E7312" w:rsidP="00761F53">
            <w:pPr>
              <w:spacing w:before="40" w:after="40"/>
              <w:jc w:val="left"/>
            </w:pPr>
            <w:r>
              <w:t>Récipients, canalisations et autres appareils sont en bon état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E7312" w:rsidP="00761F53">
            <w:pPr>
              <w:spacing w:before="40" w:after="40"/>
              <w:jc w:val="left"/>
            </w:pPr>
            <w:r>
              <w:t>Déversements sont nettoyés sécuritairement et immédiatement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E7312" w:rsidP="00761F53">
            <w:pPr>
              <w:spacing w:before="40" w:after="40"/>
              <w:jc w:val="left"/>
            </w:pPr>
            <w:r>
              <w:t xml:space="preserve">Contenant sécuritaire pour le </w:t>
            </w:r>
            <w:proofErr w:type="spellStart"/>
            <w:r>
              <w:t>transvidage</w:t>
            </w:r>
            <w:proofErr w:type="spellEnd"/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6E7312" w:rsidP="00761F53">
            <w:pPr>
              <w:spacing w:before="40" w:after="40"/>
              <w:jc w:val="left"/>
            </w:pPr>
            <w:r>
              <w:t>Entreposage et manutention des matières dangereuses conformes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6E7312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6E7312" w:rsidRPr="00AA717D" w:rsidRDefault="00101838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SIMDUT</w:t>
            </w:r>
          </w:p>
        </w:tc>
      </w:tr>
      <w:tr w:rsidR="003F5BD6" w:rsidTr="00981A62">
        <w:tc>
          <w:tcPr>
            <w:tcW w:w="3583" w:type="dxa"/>
          </w:tcPr>
          <w:p w:rsidR="00AA717D" w:rsidRDefault="00507DAD" w:rsidP="00761F53">
            <w:pPr>
              <w:spacing w:before="40" w:after="40"/>
              <w:jc w:val="left"/>
            </w:pPr>
            <w:r>
              <w:t>Les p</w:t>
            </w:r>
            <w:r w:rsidR="00101838">
              <w:t>ersonnes responsables du SIMDUT sont connues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101838" w:rsidP="00761F53">
            <w:pPr>
              <w:spacing w:before="40" w:after="40"/>
              <w:jc w:val="left"/>
            </w:pPr>
            <w:r>
              <w:t>Les contenants de produits contrôlés transvidés sont identifiés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101838" w:rsidP="00761F53">
            <w:pPr>
              <w:spacing w:before="40" w:after="40"/>
              <w:jc w:val="left"/>
            </w:pPr>
            <w:r>
              <w:t xml:space="preserve">Une liste permettant de connaître les produits contrôlés est </w:t>
            </w:r>
            <w:r w:rsidR="00E204D6">
              <w:t>disponible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101838" w:rsidP="00761F53">
            <w:pPr>
              <w:spacing w:before="40" w:after="40"/>
              <w:jc w:val="left"/>
            </w:pPr>
            <w:r>
              <w:lastRenderedPageBreak/>
              <w:t>Les produits ont une étiquette du fournisseur conforme et en bon état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101838" w:rsidP="00761F53">
            <w:pPr>
              <w:spacing w:before="40" w:after="40"/>
              <w:jc w:val="left"/>
            </w:pPr>
            <w:r>
              <w:t xml:space="preserve">Les fiches </w:t>
            </w:r>
            <w:r w:rsidR="00507DAD">
              <w:t>de données de sécurité</w:t>
            </w:r>
            <w:r>
              <w:t xml:space="preserve"> sont en français et </w:t>
            </w:r>
            <w:r w:rsidR="00507DAD">
              <w:t>sont à jour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101838" w:rsidP="00761F53">
            <w:pPr>
              <w:spacing w:before="40" w:after="40"/>
              <w:jc w:val="left"/>
            </w:pPr>
            <w:r>
              <w:t xml:space="preserve">Les fiches </w:t>
            </w:r>
            <w:r w:rsidR="00507DAD">
              <w:t>de données de sécurité</w:t>
            </w:r>
            <w:r>
              <w:t xml:space="preserve"> sont conser</w:t>
            </w:r>
            <w:r w:rsidR="00507DAD">
              <w:t>vées sur les lieux de travail,</w:t>
            </w:r>
            <w:r>
              <w:t xml:space="preserve"> à un endroit connu</w:t>
            </w:r>
            <w:r w:rsidR="00507DAD">
              <w:t xml:space="preserve"> et accessible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981A62" w:rsidRPr="006F049C" w:rsidTr="004C0002">
        <w:tc>
          <w:tcPr>
            <w:tcW w:w="11376" w:type="dxa"/>
            <w:gridSpan w:val="5"/>
            <w:shd w:val="clear" w:color="auto" w:fill="D9D9D9" w:themeFill="background1" w:themeFillShade="D9"/>
          </w:tcPr>
          <w:p w:rsidR="00981A62" w:rsidRPr="00AA717D" w:rsidRDefault="00981A62" w:rsidP="004C0002">
            <w:pPr>
              <w:spacing w:before="60" w:after="60"/>
              <w:rPr>
                <w:b/>
              </w:rPr>
            </w:pPr>
            <w:r>
              <w:rPr>
                <w:b/>
              </w:rPr>
              <w:t>Gaz comprimés (RSST : Art. 77)</w:t>
            </w:r>
          </w:p>
        </w:tc>
      </w:tr>
      <w:tr w:rsidR="00981A62" w:rsidTr="00981A62">
        <w:tc>
          <w:tcPr>
            <w:tcW w:w="3583" w:type="dxa"/>
          </w:tcPr>
          <w:p w:rsidR="00981A62" w:rsidRDefault="00981A62" w:rsidP="004C0002">
            <w:pPr>
              <w:spacing w:before="40" w:after="40"/>
              <w:jc w:val="left"/>
            </w:pPr>
            <w:r>
              <w:t>Bonbonnes bien attachées et identifiées lors d’utilisation</w:t>
            </w:r>
          </w:p>
        </w:tc>
        <w:tc>
          <w:tcPr>
            <w:tcW w:w="1004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</w:tr>
      <w:tr w:rsidR="00981A62" w:rsidTr="00981A62">
        <w:tc>
          <w:tcPr>
            <w:tcW w:w="3583" w:type="dxa"/>
          </w:tcPr>
          <w:p w:rsidR="00981A62" w:rsidRDefault="0077462F" w:rsidP="004C0002">
            <w:pPr>
              <w:spacing w:before="40" w:after="40"/>
              <w:jc w:val="left"/>
            </w:pPr>
            <w:r>
              <w:t>Capuchon protecteur en place pour bonbonne non utilisée</w:t>
            </w:r>
          </w:p>
        </w:tc>
        <w:tc>
          <w:tcPr>
            <w:tcW w:w="1004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981A62" w:rsidRDefault="00981A62" w:rsidP="004C0002">
            <w:pPr>
              <w:spacing w:before="40" w:after="40"/>
              <w:jc w:val="left"/>
            </w:pPr>
          </w:p>
        </w:tc>
      </w:tr>
      <w:tr w:rsidR="0077462F" w:rsidTr="00981A62">
        <w:tc>
          <w:tcPr>
            <w:tcW w:w="3583" w:type="dxa"/>
          </w:tcPr>
          <w:p w:rsidR="0077462F" w:rsidRDefault="0077462F" w:rsidP="004C0002">
            <w:pPr>
              <w:spacing w:before="40" w:after="40"/>
              <w:jc w:val="left"/>
            </w:pPr>
            <w:r>
              <w:t>Bonbonnes entreposées debout, bien attachées et dans un endroit approprié</w:t>
            </w:r>
          </w:p>
        </w:tc>
        <w:tc>
          <w:tcPr>
            <w:tcW w:w="1004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</w:tr>
      <w:tr w:rsidR="0077462F" w:rsidTr="00981A62">
        <w:tc>
          <w:tcPr>
            <w:tcW w:w="3583" w:type="dxa"/>
          </w:tcPr>
          <w:p w:rsidR="0077462F" w:rsidRDefault="0077462F" w:rsidP="004C0002">
            <w:pPr>
              <w:spacing w:before="40" w:after="40"/>
              <w:jc w:val="left"/>
            </w:pPr>
            <w:r>
              <w:t>Tenues à l’écart de toute chaleur supérieure à 50 degrés</w:t>
            </w:r>
          </w:p>
        </w:tc>
        <w:tc>
          <w:tcPr>
            <w:tcW w:w="1004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77462F" w:rsidRDefault="0077462F" w:rsidP="004C0002">
            <w:pPr>
              <w:spacing w:before="40" w:after="40"/>
              <w:jc w:val="left"/>
            </w:pPr>
          </w:p>
        </w:tc>
      </w:tr>
      <w:tr w:rsidR="00567773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567773" w:rsidRPr="00AA717D" w:rsidRDefault="00567773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Matières inflammables et combustibles</w:t>
            </w: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Bidons identifiés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567773" w:rsidRPr="0041681D" w:rsidTr="0041681D">
        <w:tc>
          <w:tcPr>
            <w:tcW w:w="11376" w:type="dxa"/>
            <w:gridSpan w:val="5"/>
            <w:shd w:val="clear" w:color="auto" w:fill="9CC2E5" w:themeFill="accent1" w:themeFillTint="99"/>
          </w:tcPr>
          <w:p w:rsidR="00567773" w:rsidRPr="0041681D" w:rsidRDefault="00567773" w:rsidP="0041681D">
            <w:pPr>
              <w:spacing w:before="120" w:after="120"/>
              <w:jc w:val="left"/>
              <w:rPr>
                <w:b/>
                <w:sz w:val="24"/>
              </w:rPr>
            </w:pPr>
            <w:r w:rsidRPr="0041681D">
              <w:rPr>
                <w:b/>
                <w:sz w:val="24"/>
              </w:rPr>
              <w:t>MESURES DE SÉCURITÉ EN CAS D’URGENCE</w:t>
            </w:r>
          </w:p>
        </w:tc>
      </w:tr>
      <w:tr w:rsidR="00567773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567773" w:rsidRPr="00AA717D" w:rsidRDefault="00567773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7C7014" w:rsidP="00761F53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582614">
        <w:tc>
          <w:tcPr>
            <w:tcW w:w="3583" w:type="dxa"/>
            <w:tcBorders>
              <w:bottom w:val="single" w:sz="4" w:space="0" w:color="auto"/>
            </w:tcBorders>
          </w:tcPr>
          <w:p w:rsidR="00101838" w:rsidRDefault="00567773" w:rsidP="00761F53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567773" w:rsidRPr="006F049C" w:rsidTr="00582614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567773" w:rsidRPr="00AA717D" w:rsidRDefault="00567773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Équipements d’urgence (</w:t>
            </w:r>
            <w:r w:rsidR="00E204D6">
              <w:rPr>
                <w:b/>
              </w:rPr>
              <w:t xml:space="preserve">RSST : </w:t>
            </w:r>
            <w:r>
              <w:rPr>
                <w:b/>
              </w:rPr>
              <w:t>Art. 75 et 76)</w:t>
            </w: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Douche de secours présente et fonctionnelle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Douche oculaire présente et fonctionnelle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567773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567773" w:rsidRPr="00AA717D" w:rsidRDefault="00567773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Trousses de premiers soins</w:t>
            </w:r>
          </w:p>
        </w:tc>
      </w:tr>
      <w:tr w:rsidR="00507DAD" w:rsidTr="00981A62">
        <w:tc>
          <w:tcPr>
            <w:tcW w:w="3583" w:type="dxa"/>
          </w:tcPr>
          <w:p w:rsidR="00507DAD" w:rsidRDefault="00507DAD" w:rsidP="00507DAD">
            <w:pPr>
              <w:spacing w:before="40" w:after="40"/>
              <w:jc w:val="left"/>
            </w:pPr>
            <w:r>
              <w:t>Dans un endroit facile d’accès</w:t>
            </w: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</w:tr>
      <w:tr w:rsidR="00507DAD" w:rsidTr="00981A62">
        <w:tc>
          <w:tcPr>
            <w:tcW w:w="3583" w:type="dxa"/>
          </w:tcPr>
          <w:p w:rsidR="00507DAD" w:rsidRDefault="00507DAD" w:rsidP="00507DAD">
            <w:pPr>
              <w:spacing w:before="40" w:after="40"/>
              <w:jc w:val="left"/>
            </w:pPr>
            <w:r>
              <w:t>Maintenue propre, complète et en bon état</w:t>
            </w: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</w:tr>
      <w:tr w:rsidR="00507DAD" w:rsidTr="00981A62">
        <w:tc>
          <w:tcPr>
            <w:tcW w:w="3583" w:type="dxa"/>
          </w:tcPr>
          <w:p w:rsidR="00507DAD" w:rsidRDefault="00507DAD" w:rsidP="00507DAD">
            <w:pPr>
              <w:spacing w:before="40" w:after="40"/>
              <w:jc w:val="left"/>
            </w:pPr>
            <w:r>
              <w:t>Affiche des premiers secours et de secouristes présente et à jour</w:t>
            </w: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</w:tr>
      <w:tr w:rsidR="00507DAD" w:rsidTr="00981A62">
        <w:tc>
          <w:tcPr>
            <w:tcW w:w="3583" w:type="dxa"/>
          </w:tcPr>
          <w:p w:rsidR="00507DAD" w:rsidRDefault="00507DAD" w:rsidP="00507DAD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07DAD" w:rsidRDefault="00507DAD" w:rsidP="00507DAD">
            <w:pPr>
              <w:spacing w:before="40" w:after="40"/>
              <w:jc w:val="left"/>
            </w:pPr>
          </w:p>
        </w:tc>
      </w:tr>
      <w:tr w:rsidR="00567773" w:rsidRPr="0041681D" w:rsidTr="0041681D">
        <w:tc>
          <w:tcPr>
            <w:tcW w:w="11376" w:type="dxa"/>
            <w:gridSpan w:val="5"/>
            <w:shd w:val="clear" w:color="auto" w:fill="9CC2E5" w:themeFill="accent1" w:themeFillTint="99"/>
          </w:tcPr>
          <w:p w:rsidR="00567773" w:rsidRPr="0041681D" w:rsidRDefault="00567773" w:rsidP="0041681D">
            <w:pPr>
              <w:spacing w:before="120" w:after="120"/>
              <w:jc w:val="left"/>
              <w:rPr>
                <w:b/>
                <w:sz w:val="24"/>
              </w:rPr>
            </w:pPr>
            <w:r w:rsidRPr="0041681D">
              <w:rPr>
                <w:b/>
                <w:sz w:val="24"/>
              </w:rPr>
              <w:t>ÉQUIPEMENTS ET OUTILS</w:t>
            </w:r>
          </w:p>
        </w:tc>
      </w:tr>
      <w:tr w:rsidR="00567773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567773" w:rsidRPr="00AA717D" w:rsidRDefault="00567773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Échelle portative et escabeau (</w:t>
            </w:r>
            <w:r w:rsidR="00E204D6">
              <w:rPr>
                <w:b/>
              </w:rPr>
              <w:t xml:space="preserve">RSST : </w:t>
            </w:r>
            <w:r>
              <w:rPr>
                <w:b/>
              </w:rPr>
              <w:t>Art. 25 à 30)</w:t>
            </w:r>
          </w:p>
        </w:tc>
      </w:tr>
      <w:tr w:rsidR="003F5BD6" w:rsidTr="00981A62">
        <w:tc>
          <w:tcPr>
            <w:tcW w:w="3583" w:type="dxa"/>
          </w:tcPr>
          <w:p w:rsidR="00101838" w:rsidRDefault="00567773" w:rsidP="00761F53">
            <w:pPr>
              <w:spacing w:before="40" w:after="40"/>
              <w:jc w:val="left"/>
            </w:pPr>
            <w:r>
              <w:t>Classe 1 et dispositifs de verrouillage</w:t>
            </w: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101838" w:rsidRDefault="00101838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567773" w:rsidRDefault="00567773" w:rsidP="00761F53">
            <w:pPr>
              <w:spacing w:before="40" w:after="40"/>
              <w:jc w:val="left"/>
            </w:pPr>
            <w:r>
              <w:t>Échelons, montants et patins</w:t>
            </w:r>
            <w:r w:rsidR="001846F9">
              <w:t xml:space="preserve"> en bon état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567773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567773" w:rsidRPr="00AA717D" w:rsidRDefault="00567773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Machine à meuler et meule (</w:t>
            </w:r>
            <w:r w:rsidR="00E204D6">
              <w:rPr>
                <w:b/>
              </w:rPr>
              <w:t xml:space="preserve">RSST : </w:t>
            </w:r>
            <w:r>
              <w:rPr>
                <w:b/>
              </w:rPr>
              <w:t>Art. 197 à 206)</w:t>
            </w:r>
          </w:p>
        </w:tc>
      </w:tr>
      <w:tr w:rsidR="003F5BD6" w:rsidTr="00981A62">
        <w:tc>
          <w:tcPr>
            <w:tcW w:w="3583" w:type="dxa"/>
          </w:tcPr>
          <w:p w:rsidR="00567773" w:rsidRDefault="00567773" w:rsidP="00761F53">
            <w:pPr>
              <w:spacing w:before="40" w:after="40"/>
              <w:jc w:val="left"/>
            </w:pPr>
            <w:r>
              <w:t>Munies de protecteurs et de dispositifs de protection (carter, écran, etc.)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567773" w:rsidRDefault="00567773" w:rsidP="00761F53">
            <w:pPr>
              <w:spacing w:before="40" w:after="40"/>
              <w:jc w:val="left"/>
            </w:pPr>
            <w:r>
              <w:t>Meule (pierre) en bon état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567773" w:rsidRDefault="00567773" w:rsidP="00761F53">
            <w:pPr>
              <w:spacing w:before="40" w:after="40"/>
              <w:jc w:val="left"/>
            </w:pPr>
            <w:r>
              <w:t>Support à moins de 3 mm de la meule (pierre)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77462F" w:rsidTr="00981A62">
        <w:tc>
          <w:tcPr>
            <w:tcW w:w="3583" w:type="dxa"/>
          </w:tcPr>
          <w:p w:rsidR="0077462F" w:rsidRDefault="0077462F" w:rsidP="00761F53">
            <w:pPr>
              <w:spacing w:before="40" w:after="40"/>
              <w:jc w:val="left"/>
            </w:pPr>
            <w:r>
              <w:t>Meule entreposée selon les dispositifs du fabricant</w:t>
            </w:r>
          </w:p>
        </w:tc>
        <w:tc>
          <w:tcPr>
            <w:tcW w:w="1004" w:type="dxa"/>
          </w:tcPr>
          <w:p w:rsidR="0077462F" w:rsidRDefault="0077462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77462F" w:rsidRDefault="0077462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77462F" w:rsidRDefault="0077462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77462F" w:rsidRDefault="0077462F" w:rsidP="00761F53">
            <w:pPr>
              <w:spacing w:before="40" w:after="40"/>
              <w:jc w:val="left"/>
            </w:pPr>
          </w:p>
        </w:tc>
      </w:tr>
      <w:tr w:rsidR="003F5BD6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3F5BD6" w:rsidRPr="00AA717D" w:rsidRDefault="003F5BD6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Outils à main et outils portatifs (</w:t>
            </w:r>
            <w:r w:rsidR="00E204D6">
              <w:rPr>
                <w:b/>
              </w:rPr>
              <w:t xml:space="preserve">RSST : </w:t>
            </w:r>
            <w:r>
              <w:rPr>
                <w:b/>
              </w:rPr>
              <w:t>Section XXII)</w:t>
            </w:r>
          </w:p>
        </w:tc>
      </w:tr>
      <w:tr w:rsidR="003F5BD6" w:rsidTr="00981A62">
        <w:tc>
          <w:tcPr>
            <w:tcW w:w="3583" w:type="dxa"/>
          </w:tcPr>
          <w:p w:rsidR="00567773" w:rsidRDefault="003F5BD6" w:rsidP="00761F53">
            <w:pPr>
              <w:spacing w:before="40" w:after="40"/>
              <w:jc w:val="left"/>
            </w:pPr>
            <w:r>
              <w:t>Inspectés et entretenus régulièrement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567773" w:rsidRDefault="003F5BD6" w:rsidP="00761F53">
            <w:pPr>
              <w:spacing w:before="40" w:after="40"/>
              <w:jc w:val="left"/>
            </w:pPr>
            <w:r>
              <w:lastRenderedPageBreak/>
              <w:t>Mise à la terre ou double isolation</w:t>
            </w:r>
            <w:r w:rsidR="00731046">
              <w:t xml:space="preserve"> (outils électriques)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567773" w:rsidRDefault="003F5BD6" w:rsidP="00761F53">
            <w:pPr>
              <w:spacing w:before="40" w:after="40"/>
              <w:jc w:val="left"/>
            </w:pPr>
            <w:r>
              <w:t>Les fils électriques et les tuyaux flexibles ne présentent pas d</w:t>
            </w:r>
            <w:r w:rsidR="0077462F">
              <w:t>e danger de chute ni de blessure à la tête et sont en bon état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567773" w:rsidRDefault="003F5BD6" w:rsidP="00761F53">
            <w:pPr>
              <w:spacing w:before="40" w:after="40"/>
              <w:jc w:val="left"/>
            </w:pPr>
            <w:r>
              <w:t>Munis de protecteurs et dispositifs de protection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RPr="0041681D" w:rsidTr="0041681D">
        <w:tc>
          <w:tcPr>
            <w:tcW w:w="11376" w:type="dxa"/>
            <w:gridSpan w:val="5"/>
            <w:shd w:val="clear" w:color="auto" w:fill="9CC2E5" w:themeFill="accent1" w:themeFillTint="99"/>
          </w:tcPr>
          <w:p w:rsidR="003F5BD6" w:rsidRPr="0041681D" w:rsidRDefault="003F5BD6" w:rsidP="0041681D">
            <w:pPr>
              <w:spacing w:before="120" w:after="120"/>
              <w:jc w:val="left"/>
              <w:rPr>
                <w:b/>
                <w:sz w:val="24"/>
              </w:rPr>
            </w:pPr>
            <w:bookmarkStart w:id="2" w:name="_Hlk485971285"/>
            <w:r w:rsidRPr="0041681D">
              <w:rPr>
                <w:b/>
                <w:sz w:val="24"/>
              </w:rPr>
              <w:t>DIVERS</w:t>
            </w:r>
          </w:p>
        </w:tc>
      </w:tr>
      <w:tr w:rsidR="003F5BD6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3F5BD6" w:rsidRPr="00AA717D" w:rsidRDefault="003F5BD6" w:rsidP="00F85F4F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3F5BD6" w:rsidTr="00981A62">
        <w:tc>
          <w:tcPr>
            <w:tcW w:w="3583" w:type="dxa"/>
          </w:tcPr>
          <w:p w:rsidR="00567773" w:rsidRDefault="003F5BD6" w:rsidP="00761F53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507DAD">
        <w:tc>
          <w:tcPr>
            <w:tcW w:w="3583" w:type="dxa"/>
            <w:tcBorders>
              <w:bottom w:val="single" w:sz="4" w:space="0" w:color="auto"/>
            </w:tcBorders>
          </w:tcPr>
          <w:p w:rsidR="00567773" w:rsidRDefault="003F5BD6" w:rsidP="00761F53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507DAD">
        <w:tc>
          <w:tcPr>
            <w:tcW w:w="3583" w:type="dxa"/>
            <w:tcBorders>
              <w:bottom w:val="single" w:sz="4" w:space="0" w:color="auto"/>
            </w:tcBorders>
          </w:tcPr>
          <w:p w:rsidR="00567773" w:rsidRDefault="003F5BD6" w:rsidP="00761F53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tr w:rsidR="003F5BD6" w:rsidTr="00507DAD">
        <w:tc>
          <w:tcPr>
            <w:tcW w:w="3583" w:type="dxa"/>
            <w:tcBorders>
              <w:top w:val="single" w:sz="4" w:space="0" w:color="auto"/>
            </w:tcBorders>
          </w:tcPr>
          <w:p w:rsidR="00567773" w:rsidRDefault="003F5BD6" w:rsidP="00761F53">
            <w:pPr>
              <w:spacing w:before="40" w:after="40"/>
              <w:jc w:val="left"/>
            </w:pPr>
            <w:r>
              <w:t>Système d’ouverture de porte en bonne condition</w:t>
            </w: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single" w:sz="4" w:space="0" w:color="auto"/>
            </w:tcBorders>
          </w:tcPr>
          <w:p w:rsidR="00567773" w:rsidRDefault="00567773" w:rsidP="00761F53">
            <w:pPr>
              <w:spacing w:before="40" w:after="40"/>
              <w:jc w:val="left"/>
            </w:pPr>
          </w:p>
        </w:tc>
      </w:tr>
      <w:bookmarkEnd w:id="2"/>
    </w:tbl>
    <w:p w:rsidR="00894E4C" w:rsidRPr="00761F53" w:rsidRDefault="00894E4C" w:rsidP="005A3B90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8F5" w:rsidRDefault="007178F5" w:rsidP="006164C6">
      <w:pPr>
        <w:spacing w:after="0"/>
      </w:pPr>
      <w:r>
        <w:separator/>
      </w:r>
    </w:p>
  </w:endnote>
  <w:endnote w:type="continuationSeparator" w:id="0">
    <w:p w:rsidR="007178F5" w:rsidRDefault="007178F5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1B1D97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8F5" w:rsidRDefault="007178F5" w:rsidP="006164C6">
      <w:pPr>
        <w:spacing w:after="0"/>
      </w:pPr>
      <w:bookmarkStart w:id="0" w:name="_Hlk480358201"/>
      <w:bookmarkEnd w:id="0"/>
      <w:r>
        <w:separator/>
      </w:r>
    </w:p>
  </w:footnote>
  <w:footnote w:type="continuationSeparator" w:id="0">
    <w:p w:rsidR="007178F5" w:rsidRDefault="007178F5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54C16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-870794</wp:posOffset>
          </wp:positionH>
          <wp:positionV relativeFrom="paragraph">
            <wp:posOffset>-153281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E204D6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7364EE"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Aréna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E204D6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7364EE"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Aréna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1D0"/>
    <w:rsid w:val="00101838"/>
    <w:rsid w:val="001022FD"/>
    <w:rsid w:val="0015496E"/>
    <w:rsid w:val="001846F9"/>
    <w:rsid w:val="001B1D97"/>
    <w:rsid w:val="00207B14"/>
    <w:rsid w:val="002435ED"/>
    <w:rsid w:val="00254C16"/>
    <w:rsid w:val="00283256"/>
    <w:rsid w:val="002B35DB"/>
    <w:rsid w:val="002C4C13"/>
    <w:rsid w:val="0031719E"/>
    <w:rsid w:val="00353549"/>
    <w:rsid w:val="00380C97"/>
    <w:rsid w:val="003F5BD6"/>
    <w:rsid w:val="004050D1"/>
    <w:rsid w:val="0041681D"/>
    <w:rsid w:val="00461DE6"/>
    <w:rsid w:val="004622CE"/>
    <w:rsid w:val="004C0B8A"/>
    <w:rsid w:val="004C4F2D"/>
    <w:rsid w:val="00507DAD"/>
    <w:rsid w:val="005129A0"/>
    <w:rsid w:val="0055364C"/>
    <w:rsid w:val="005605B4"/>
    <w:rsid w:val="00567773"/>
    <w:rsid w:val="00582614"/>
    <w:rsid w:val="00587871"/>
    <w:rsid w:val="005A3B90"/>
    <w:rsid w:val="005C7E60"/>
    <w:rsid w:val="006164C6"/>
    <w:rsid w:val="0066617D"/>
    <w:rsid w:val="006745BE"/>
    <w:rsid w:val="006E7312"/>
    <w:rsid w:val="006E7558"/>
    <w:rsid w:val="006F049C"/>
    <w:rsid w:val="006F188E"/>
    <w:rsid w:val="007178F5"/>
    <w:rsid w:val="00731046"/>
    <w:rsid w:val="00735154"/>
    <w:rsid w:val="007364EE"/>
    <w:rsid w:val="00761F53"/>
    <w:rsid w:val="0076412E"/>
    <w:rsid w:val="0077462F"/>
    <w:rsid w:val="007C7014"/>
    <w:rsid w:val="007F40C2"/>
    <w:rsid w:val="007F4BD9"/>
    <w:rsid w:val="00850E1F"/>
    <w:rsid w:val="0086077D"/>
    <w:rsid w:val="00864E26"/>
    <w:rsid w:val="00894E4C"/>
    <w:rsid w:val="008B7C2A"/>
    <w:rsid w:val="008D640D"/>
    <w:rsid w:val="008F3FDF"/>
    <w:rsid w:val="0091319F"/>
    <w:rsid w:val="00940B54"/>
    <w:rsid w:val="00951F14"/>
    <w:rsid w:val="009817BD"/>
    <w:rsid w:val="00981A62"/>
    <w:rsid w:val="009D1565"/>
    <w:rsid w:val="00A91B61"/>
    <w:rsid w:val="00AA717D"/>
    <w:rsid w:val="00AB55CC"/>
    <w:rsid w:val="00AC1340"/>
    <w:rsid w:val="00B03AD6"/>
    <w:rsid w:val="00B55903"/>
    <w:rsid w:val="00BE04BD"/>
    <w:rsid w:val="00C204F2"/>
    <w:rsid w:val="00C36A3A"/>
    <w:rsid w:val="00C46C85"/>
    <w:rsid w:val="00CE105B"/>
    <w:rsid w:val="00CE6012"/>
    <w:rsid w:val="00D930D6"/>
    <w:rsid w:val="00D96F7C"/>
    <w:rsid w:val="00E204D6"/>
    <w:rsid w:val="00E51A7D"/>
    <w:rsid w:val="00E9241E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145F-26CA-44EB-9087-76965378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117</TotalTime>
  <Pages>5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aréna</dc:title>
  <dc:subject/>
  <dc:creator>APSAM</dc:creator>
  <cp:keywords/>
  <dc:description/>
  <cp:lastModifiedBy>Claire Vézina</cp:lastModifiedBy>
  <cp:revision>26</cp:revision>
  <cp:lastPrinted>2017-04-20T13:06:00Z</cp:lastPrinted>
  <dcterms:created xsi:type="dcterms:W3CDTF">2017-04-12T14:19:00Z</dcterms:created>
  <dcterms:modified xsi:type="dcterms:W3CDTF">2017-11-08T19:16:00Z</dcterms:modified>
</cp:coreProperties>
</file>